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19D" w:rsidRDefault="002D219D" w:rsidP="006030FB">
      <w:pPr>
        <w:pStyle w:val="Heading1"/>
        <w:jc w:val="center"/>
      </w:pPr>
      <w:r>
        <w:t>Support Seniors with Diabetes: Cosponsor the Medicare CGM Coverage Act of 2014</w:t>
      </w:r>
    </w:p>
    <w:p w:rsidR="002D219D" w:rsidRDefault="002D219D" w:rsidP="002D219D">
      <w:pPr>
        <w:pStyle w:val="Heading2"/>
      </w:pPr>
      <w:r>
        <w:t>From: The Honorable Carol Shea-Porter</w:t>
      </w:r>
      <w:r>
        <w:br/>
        <w:t xml:space="preserve">Sent By: </w:t>
      </w:r>
      <w:hyperlink r:id="rId5" w:tooltip="mailto:marjorie.connolly@mail.house.gov?subject=RE:%20Support%20Seniors%20with%20Diabetes:%20Cosponsor%20the%20Medicare%20CGM%20Coverage%20Act%20of%202014" w:history="1">
        <w:r>
          <w:rPr>
            <w:rStyle w:val="Hyperlink"/>
          </w:rPr>
          <w:t>marjorie.connolly@mail.house.gov</w:t>
        </w:r>
      </w:hyperlink>
      <w:r>
        <w:br/>
        <w:t>Bill: H.R. 3710</w:t>
      </w:r>
      <w:r>
        <w:br/>
        <w:t>Date: 1/15/2014</w:t>
      </w:r>
    </w:p>
    <w:p w:rsidR="00333B57" w:rsidRPr="00AE3A63" w:rsidRDefault="002D219D" w:rsidP="00E4201B">
      <w:pPr>
        <w:pStyle w:val="NormalWeb"/>
        <w:rPr>
          <w:sz w:val="22"/>
          <w:szCs w:val="22"/>
        </w:rPr>
      </w:pPr>
      <w:r w:rsidRPr="00AE3A63">
        <w:rPr>
          <w:sz w:val="22"/>
          <w:szCs w:val="22"/>
        </w:rPr>
        <w:t>Dear Colleague,</w:t>
      </w:r>
      <w:r w:rsidRPr="00AE3A63">
        <w:rPr>
          <w:sz w:val="22"/>
          <w:szCs w:val="22"/>
        </w:rPr>
        <w:br/>
      </w:r>
    </w:p>
    <w:p w:rsidR="002D219D" w:rsidRPr="00AE3A63" w:rsidRDefault="002D219D" w:rsidP="00E4201B">
      <w:pPr>
        <w:pStyle w:val="NormalWeb"/>
        <w:rPr>
          <w:sz w:val="22"/>
          <w:szCs w:val="22"/>
        </w:rPr>
      </w:pPr>
      <w:r w:rsidRPr="00AE3A63">
        <w:rPr>
          <w:sz w:val="22"/>
          <w:szCs w:val="22"/>
        </w:rPr>
        <w:t xml:space="preserve">I urge you to join me in helping Medicare beneficiaries to manage their diabetes by cosponsoring </w:t>
      </w:r>
      <w:r w:rsidRPr="00AE3A63">
        <w:rPr>
          <w:rStyle w:val="Strong"/>
          <w:sz w:val="22"/>
          <w:szCs w:val="22"/>
        </w:rPr>
        <w:t>H.R.3710, the Medicare CGM Coverage Act of 2014</w:t>
      </w:r>
      <w:r w:rsidRPr="00AE3A63">
        <w:rPr>
          <w:sz w:val="22"/>
          <w:szCs w:val="22"/>
        </w:rPr>
        <w:t>. This bill would allow Medicare to cover Continuous Glucose Monitoring Systems (CGMs) if recommended by a doctor.</w:t>
      </w:r>
    </w:p>
    <w:p w:rsidR="002D219D" w:rsidRPr="00AE3A63" w:rsidRDefault="002D219D" w:rsidP="00E4201B">
      <w:pPr>
        <w:pStyle w:val="NormalWeb"/>
        <w:rPr>
          <w:sz w:val="22"/>
          <w:szCs w:val="22"/>
        </w:rPr>
      </w:pPr>
      <w:r w:rsidRPr="00AE3A63">
        <w:rPr>
          <w:sz w:val="22"/>
          <w:szCs w:val="22"/>
        </w:rPr>
        <w:t>In recent years, continuous glucose monitoring has helped an increasing number of Americans with diabetes to manage their condition and avoid complications. CGMs provide real-time measurements of glucose levels, which enables better glucose control and helps patients make crucial decisions about food, physical activity, and medications.</w:t>
      </w:r>
    </w:p>
    <w:p w:rsidR="002D219D" w:rsidRPr="00AE3A63" w:rsidRDefault="002D219D" w:rsidP="00E4201B">
      <w:pPr>
        <w:pStyle w:val="NormalWeb"/>
        <w:rPr>
          <w:sz w:val="22"/>
          <w:szCs w:val="22"/>
        </w:rPr>
      </w:pPr>
      <w:r w:rsidRPr="00AE3A63">
        <w:rPr>
          <w:sz w:val="22"/>
          <w:szCs w:val="22"/>
        </w:rPr>
        <w:t>For the patients who need them, CGMs help prevent accidents, injuries, comas, and even death. Preventing these incidents is much less expensive than treating them.</w:t>
      </w:r>
    </w:p>
    <w:p w:rsidR="002D219D" w:rsidRPr="00AE3A63" w:rsidRDefault="002D219D" w:rsidP="00E4201B">
      <w:pPr>
        <w:pStyle w:val="NormalWeb"/>
        <w:rPr>
          <w:sz w:val="22"/>
          <w:szCs w:val="22"/>
        </w:rPr>
      </w:pPr>
      <w:r w:rsidRPr="00AE3A63">
        <w:rPr>
          <w:sz w:val="22"/>
          <w:szCs w:val="22"/>
        </w:rPr>
        <w:t>Over the past decade, the prescription of CGMs has increased, especially for adults with Type I diabetes, which tends to be more difficult to monitor than Type II diabetes. While many private insurers now cover CGMs, they are not yet covered by Medicare. In fact, CMS specifically excludes them from Part B coverage.</w:t>
      </w:r>
    </w:p>
    <w:p w:rsidR="002D219D" w:rsidRPr="00AE3A63" w:rsidRDefault="002D219D" w:rsidP="00E4201B">
      <w:pPr>
        <w:pStyle w:val="NormalWeb"/>
        <w:rPr>
          <w:sz w:val="22"/>
          <w:szCs w:val="22"/>
        </w:rPr>
      </w:pPr>
      <w:r w:rsidRPr="00AE3A63">
        <w:rPr>
          <w:sz w:val="22"/>
          <w:szCs w:val="22"/>
        </w:rPr>
        <w:t>However, in numerous appeals by Medicare beneficiaries, Administrative Law Judges have agreed with patients and their doctors that CGMs are, indeed, reasonable and necessary for management of their diabetes. Testimony in these cases presents a clear picture of CGMs’ essential role in these patients’ treatment:</w:t>
      </w:r>
    </w:p>
    <w:p w:rsidR="002D219D" w:rsidRPr="00AE3A63" w:rsidRDefault="002D219D" w:rsidP="00E4201B">
      <w:pPr>
        <w:pStyle w:val="NormalWeb"/>
        <w:ind w:left="720"/>
        <w:rPr>
          <w:sz w:val="22"/>
          <w:szCs w:val="22"/>
        </w:rPr>
      </w:pPr>
      <w:r w:rsidRPr="00AE3A63">
        <w:rPr>
          <w:rStyle w:val="Emphasis"/>
          <w:sz w:val="22"/>
          <w:szCs w:val="22"/>
        </w:rPr>
        <w:t>“The CGM has made ‘huge positive changes’ in his safety by eliminating the risk posed by his lack of hypoglycemic awareness.”</w:t>
      </w:r>
    </w:p>
    <w:p w:rsidR="002D219D" w:rsidRPr="00AE3A63" w:rsidRDefault="002D219D" w:rsidP="00E4201B">
      <w:pPr>
        <w:pStyle w:val="NormalWeb"/>
        <w:ind w:left="720"/>
        <w:rPr>
          <w:sz w:val="22"/>
          <w:szCs w:val="22"/>
        </w:rPr>
      </w:pPr>
      <w:r w:rsidRPr="00AE3A63">
        <w:rPr>
          <w:rStyle w:val="Emphasis"/>
          <w:sz w:val="22"/>
          <w:szCs w:val="22"/>
        </w:rPr>
        <w:t xml:space="preserve">The CGM “allows (the patient) to recognize when her blood sugar is trending low so that she can intervene before she becomes confused or blacks out due to hypoglycemia.” </w:t>
      </w:r>
    </w:p>
    <w:p w:rsidR="002D219D" w:rsidRPr="00AE3A63" w:rsidRDefault="002D219D" w:rsidP="00E4201B">
      <w:pPr>
        <w:pStyle w:val="NormalWeb"/>
        <w:ind w:left="720"/>
        <w:rPr>
          <w:sz w:val="22"/>
          <w:szCs w:val="22"/>
        </w:rPr>
      </w:pPr>
      <w:r w:rsidRPr="00AE3A63">
        <w:rPr>
          <w:rStyle w:val="Emphasis"/>
          <w:sz w:val="22"/>
          <w:szCs w:val="22"/>
        </w:rPr>
        <w:t>“She used an example of when she was driving recently and the monitor went off. Her blood sugar was dropping although she was having no symptoms. She was able to treat the low blood sugar.”</w:t>
      </w:r>
    </w:p>
    <w:p w:rsidR="002D219D" w:rsidRPr="00AE3A63" w:rsidRDefault="002D219D" w:rsidP="00E4201B">
      <w:pPr>
        <w:pStyle w:val="NormalWeb"/>
        <w:rPr>
          <w:sz w:val="22"/>
          <w:szCs w:val="22"/>
        </w:rPr>
      </w:pPr>
      <w:r w:rsidRPr="00AE3A63">
        <w:rPr>
          <w:sz w:val="22"/>
          <w:szCs w:val="22"/>
        </w:rPr>
        <w:t>Medicare beneficiaries should not have to go through a lengthy legal appeals process to obtain coverage for devices that patients, doctors, and private insurers agree are necessary for their health. To sign on as a cosponsor, or if you have additional questions, please contact Marjorie Connolly (</w:t>
      </w:r>
      <w:hyperlink r:id="rId6" w:tooltip="mailto:Marjorie.Connolly@mail.house.gov" w:history="1">
        <w:r w:rsidRPr="00AE3A63">
          <w:rPr>
            <w:rStyle w:val="Hyperlink"/>
            <w:sz w:val="22"/>
            <w:szCs w:val="22"/>
          </w:rPr>
          <w:t>Marjorie.Connolly@mail.house.gov</w:t>
        </w:r>
      </w:hyperlink>
      <w:r w:rsidRPr="00AE3A63">
        <w:rPr>
          <w:sz w:val="22"/>
          <w:szCs w:val="22"/>
        </w:rPr>
        <w:t>).</w:t>
      </w:r>
      <w:r w:rsidRPr="00AE3A63">
        <w:rPr>
          <w:sz w:val="22"/>
          <w:szCs w:val="22"/>
        </w:rPr>
        <w:br/>
        <w:t> </w:t>
      </w:r>
    </w:p>
    <w:p w:rsidR="002D219D" w:rsidRPr="00AE3A63" w:rsidRDefault="002D219D" w:rsidP="00E4201B">
      <w:pPr>
        <w:pStyle w:val="NormalWeb"/>
        <w:rPr>
          <w:sz w:val="22"/>
          <w:szCs w:val="22"/>
        </w:rPr>
      </w:pPr>
      <w:r w:rsidRPr="00AE3A63">
        <w:rPr>
          <w:sz w:val="22"/>
          <w:szCs w:val="22"/>
        </w:rPr>
        <w:t>Sincerely,</w:t>
      </w:r>
    </w:p>
    <w:p w:rsidR="002D219D" w:rsidRPr="00AE3A63" w:rsidRDefault="002D219D" w:rsidP="00E4201B">
      <w:pPr>
        <w:pStyle w:val="NormalWeb"/>
        <w:rPr>
          <w:sz w:val="22"/>
          <w:szCs w:val="22"/>
        </w:rPr>
      </w:pPr>
      <w:r w:rsidRPr="00AE3A63">
        <w:rPr>
          <w:sz w:val="22"/>
          <w:szCs w:val="22"/>
        </w:rPr>
        <w:t>Carol Shea-Porter</w:t>
      </w:r>
      <w:r w:rsidRPr="00AE3A63">
        <w:rPr>
          <w:sz w:val="22"/>
          <w:szCs w:val="22"/>
        </w:rPr>
        <w:br/>
        <w:t>Member of Congress</w:t>
      </w:r>
    </w:p>
    <w:sectPr w:rsidR="002D219D" w:rsidRPr="00AE3A63" w:rsidSect="00AE3A63">
      <w:pgSz w:w="12240" w:h="15840"/>
      <w:pgMar w:top="864" w:right="1008" w:bottom="864"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124CBA"/>
    <w:multiLevelType w:val="hybridMultilevel"/>
    <w:tmpl w:val="7DE8C8FE"/>
    <w:lvl w:ilvl="0" w:tplc="EB6E7742">
      <w:numFmt w:val="bullet"/>
      <w:lvlText w:val="-"/>
      <w:lvlJc w:val="left"/>
      <w:pPr>
        <w:tabs>
          <w:tab w:val="num" w:pos="720"/>
        </w:tabs>
        <w:ind w:left="720" w:hanging="360"/>
      </w:pPr>
      <w:rPr>
        <w:rFonts w:ascii="Calibri" w:eastAsia="Times New Roman" w:hAnsi="Calibri"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stylePaneFormatFilter w:val="3F01"/>
  <w:doNotTrackMoves/>
  <w:defaultTabStop w:val="720"/>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2D219D"/>
    <w:rsid w:val="000B7C11"/>
    <w:rsid w:val="001D3087"/>
    <w:rsid w:val="002D219D"/>
    <w:rsid w:val="00333B57"/>
    <w:rsid w:val="003661D4"/>
    <w:rsid w:val="004543E1"/>
    <w:rsid w:val="004A55D1"/>
    <w:rsid w:val="00594DBE"/>
    <w:rsid w:val="005F18C0"/>
    <w:rsid w:val="006030FB"/>
    <w:rsid w:val="006A04E3"/>
    <w:rsid w:val="006F6853"/>
    <w:rsid w:val="00A43273"/>
    <w:rsid w:val="00AE3A63"/>
    <w:rsid w:val="00B64620"/>
    <w:rsid w:val="00C7076F"/>
    <w:rsid w:val="00E4201B"/>
    <w:rsid w:val="00E474B8"/>
    <w:rsid w:val="00EA3C2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94DBE"/>
    <w:rPr>
      <w:sz w:val="24"/>
      <w:szCs w:val="24"/>
    </w:rPr>
  </w:style>
  <w:style w:type="paragraph" w:styleId="Heading1">
    <w:name w:val="heading 1"/>
    <w:basedOn w:val="Normal"/>
    <w:link w:val="Heading1Char"/>
    <w:qFormat/>
    <w:rsid w:val="002D219D"/>
    <w:pPr>
      <w:spacing w:before="100" w:beforeAutospacing="1" w:after="100" w:afterAutospacing="1"/>
      <w:outlineLvl w:val="0"/>
    </w:pPr>
    <w:rPr>
      <w:b/>
      <w:bCs/>
      <w:kern w:val="36"/>
      <w:sz w:val="48"/>
      <w:szCs w:val="48"/>
    </w:rPr>
  </w:style>
  <w:style w:type="paragraph" w:styleId="Heading2">
    <w:name w:val="heading 2"/>
    <w:basedOn w:val="Normal"/>
    <w:link w:val="Heading2Char"/>
    <w:qFormat/>
    <w:rsid w:val="002D219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D219D"/>
    <w:rPr>
      <w:color w:val="0000FF"/>
      <w:u w:val="single"/>
    </w:rPr>
  </w:style>
  <w:style w:type="character" w:customStyle="1" w:styleId="Heading1Char">
    <w:name w:val="Heading 1 Char"/>
    <w:basedOn w:val="DefaultParagraphFont"/>
    <w:link w:val="Heading1"/>
    <w:rsid w:val="002D219D"/>
    <w:rPr>
      <w:b/>
      <w:bCs/>
      <w:kern w:val="36"/>
      <w:sz w:val="48"/>
      <w:szCs w:val="48"/>
      <w:lang w:val="en-US" w:eastAsia="en-US" w:bidi="ar-SA"/>
    </w:rPr>
  </w:style>
  <w:style w:type="character" w:customStyle="1" w:styleId="Heading2Char">
    <w:name w:val="Heading 2 Char"/>
    <w:basedOn w:val="DefaultParagraphFont"/>
    <w:link w:val="Heading2"/>
    <w:rsid w:val="002D219D"/>
    <w:rPr>
      <w:b/>
      <w:bCs/>
      <w:sz w:val="36"/>
      <w:szCs w:val="36"/>
      <w:lang w:val="en-US" w:eastAsia="en-US" w:bidi="ar-SA"/>
    </w:rPr>
  </w:style>
  <w:style w:type="paragraph" w:styleId="NormalWeb">
    <w:name w:val="Normal (Web)"/>
    <w:basedOn w:val="Normal"/>
    <w:rsid w:val="002D219D"/>
    <w:pPr>
      <w:spacing w:before="100" w:beforeAutospacing="1" w:after="100" w:afterAutospacing="1"/>
    </w:pPr>
  </w:style>
  <w:style w:type="character" w:styleId="Strong">
    <w:name w:val="Strong"/>
    <w:basedOn w:val="DefaultParagraphFont"/>
    <w:qFormat/>
    <w:rsid w:val="002D219D"/>
    <w:rPr>
      <w:b/>
      <w:bCs/>
    </w:rPr>
  </w:style>
  <w:style w:type="character" w:styleId="Emphasis">
    <w:name w:val="Emphasis"/>
    <w:basedOn w:val="DefaultParagraphFont"/>
    <w:qFormat/>
    <w:rsid w:val="002D219D"/>
    <w:rPr>
      <w:i/>
      <w:iCs/>
    </w:rPr>
  </w:style>
</w:styles>
</file>

<file path=word/webSettings.xml><?xml version="1.0" encoding="utf-8"?>
<w:webSettings xmlns:r="http://schemas.openxmlformats.org/officeDocument/2006/relationships" xmlns:w="http://schemas.openxmlformats.org/wordprocessingml/2006/main">
  <w:divs>
    <w:div w:id="1085034338">
      <w:bodyDiv w:val="1"/>
      <w:marLeft w:val="0"/>
      <w:marRight w:val="0"/>
      <w:marTop w:val="0"/>
      <w:marBottom w:val="0"/>
      <w:divBdr>
        <w:top w:val="none" w:sz="0" w:space="0" w:color="auto"/>
        <w:left w:val="none" w:sz="0" w:space="0" w:color="auto"/>
        <w:bottom w:val="none" w:sz="0" w:space="0" w:color="auto"/>
        <w:right w:val="none" w:sz="0" w:space="0" w:color="auto"/>
      </w:divBdr>
      <w:divsChild>
        <w:div w:id="19587545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1701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176808">
      <w:bodyDiv w:val="1"/>
      <w:marLeft w:val="0"/>
      <w:marRight w:val="0"/>
      <w:marTop w:val="0"/>
      <w:marBottom w:val="0"/>
      <w:divBdr>
        <w:top w:val="none" w:sz="0" w:space="0" w:color="auto"/>
        <w:left w:val="none" w:sz="0" w:space="0" w:color="auto"/>
        <w:bottom w:val="none" w:sz="0" w:space="0" w:color="auto"/>
        <w:right w:val="none" w:sz="0" w:space="0" w:color="auto"/>
      </w:divBdr>
      <w:divsChild>
        <w:div w:id="1592197590">
          <w:marLeft w:val="0"/>
          <w:marRight w:val="0"/>
          <w:marTop w:val="0"/>
          <w:marBottom w:val="0"/>
          <w:divBdr>
            <w:top w:val="none" w:sz="0" w:space="0" w:color="auto"/>
            <w:left w:val="none" w:sz="0" w:space="0" w:color="auto"/>
            <w:bottom w:val="none" w:sz="0" w:space="0" w:color="auto"/>
            <w:right w:val="none" w:sz="0" w:space="0" w:color="auto"/>
          </w:divBdr>
          <w:divsChild>
            <w:div w:id="1986423875">
              <w:marLeft w:val="0"/>
              <w:marRight w:val="0"/>
              <w:marTop w:val="0"/>
              <w:marBottom w:val="0"/>
              <w:divBdr>
                <w:top w:val="none" w:sz="0" w:space="0" w:color="auto"/>
                <w:left w:val="none" w:sz="0" w:space="0" w:color="auto"/>
                <w:bottom w:val="none" w:sz="0" w:space="0" w:color="auto"/>
                <w:right w:val="none" w:sz="0" w:space="0" w:color="auto"/>
              </w:divBdr>
              <w:divsChild>
                <w:div w:id="1836992530">
                  <w:marLeft w:val="0"/>
                  <w:marRight w:val="0"/>
                  <w:marTop w:val="0"/>
                  <w:marBottom w:val="0"/>
                  <w:divBdr>
                    <w:top w:val="none" w:sz="0" w:space="0" w:color="auto"/>
                    <w:left w:val="none" w:sz="0" w:space="0" w:color="auto"/>
                    <w:bottom w:val="none" w:sz="0" w:space="0" w:color="auto"/>
                    <w:right w:val="none" w:sz="0" w:space="0" w:color="auto"/>
                  </w:divBdr>
                  <w:divsChild>
                    <w:div w:id="105816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jorie.Connolly@mail.house.gov" TargetMode="External"/><Relationship Id="rId5" Type="http://schemas.openxmlformats.org/officeDocument/2006/relationships/hyperlink" Target="mailto:marjorie.connolly@mail.house.gov?subject=RE:%20Support%20Seniors%20with%20Diabetes:%20Cosponsor%20the%20Medicare%20CGM%20Coverage%20Act%20of%20201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432</Words>
  <Characters>2464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The following is an e-mail I received from Marjorie Connolly, the Legislative Assistant to Representative Carol Shea-Porter</vt:lpstr>
    </vt:vector>
  </TitlesOfParts>
  <Company>Indiana University</Company>
  <LinksUpToDate>false</LinksUpToDate>
  <CharactersWithSpaces>2891</CharactersWithSpaces>
  <SharedDoc>false</SharedDoc>
  <HLinks>
    <vt:vector size="18" baseType="variant">
      <vt:variant>
        <vt:i4>3538954</vt:i4>
      </vt:variant>
      <vt:variant>
        <vt:i4>6</vt:i4>
      </vt:variant>
      <vt:variant>
        <vt:i4>0</vt:i4>
      </vt:variant>
      <vt:variant>
        <vt:i4>5</vt:i4>
      </vt:variant>
      <vt:variant>
        <vt:lpwstr>mailto:Marjorie.Connolly@mail.house.gov</vt:lpwstr>
      </vt:variant>
      <vt:variant>
        <vt:lpwstr/>
      </vt:variant>
      <vt:variant>
        <vt:i4>7995476</vt:i4>
      </vt:variant>
      <vt:variant>
        <vt:i4>3</vt:i4>
      </vt:variant>
      <vt:variant>
        <vt:i4>0</vt:i4>
      </vt:variant>
      <vt:variant>
        <vt:i4>5</vt:i4>
      </vt:variant>
      <vt:variant>
        <vt:lpwstr>mailto:marjorie.connolly@mail.house.gov?subject=RE:%20Support%20Seniors%20with%20Diabetes:%20Cosponsor%20the%20Medicare%20CGM%20Coverage%20Act%20of%202014</vt:lpwstr>
      </vt:variant>
      <vt:variant>
        <vt:lpwstr/>
      </vt:variant>
      <vt:variant>
        <vt:i4>2293865</vt:i4>
      </vt:variant>
      <vt:variant>
        <vt:i4>0</vt:i4>
      </vt:variant>
      <vt:variant>
        <vt:i4>0</vt:i4>
      </vt:variant>
      <vt:variant>
        <vt:i4>5</vt:i4>
      </vt:variant>
      <vt:variant>
        <vt:lpwstr>http://testguessandgo.com/contact-sue-from-pennsylvania-2/</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following is an e-mail I received from Marjorie Connolly, the Legislative Assistant to Representative Carol Shea-Porter</dc:title>
  <dc:creator>Marc</dc:creator>
  <cp:lastModifiedBy>Laddie</cp:lastModifiedBy>
  <cp:revision>6</cp:revision>
  <cp:lastPrinted>2014-02-16T22:44:00Z</cp:lastPrinted>
  <dcterms:created xsi:type="dcterms:W3CDTF">2014-02-13T19:16:00Z</dcterms:created>
  <dcterms:modified xsi:type="dcterms:W3CDTF">2014-02-16T22:45:00Z</dcterms:modified>
</cp:coreProperties>
</file>